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D'Anvers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Carrano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D'Anvers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D'Anvers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Monika.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00:05:17]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paraplegic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00:05:46]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bit and then engaging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Carrano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decategorize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overcompensating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Carrano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00:09:15]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go ahead, Michael.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utopian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slippery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ahead, 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00:14:32]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don't think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an interesting question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retrofitting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retrofitted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Pantheon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by its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00:17:46]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Carrano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00:22:04]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00:25:38]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Carrano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00:27:59]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The current numbers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00:29:12]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aggravated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00:31:53]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00:32:40]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Carrano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00:33:58]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00:38:12]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Lowry.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Carrano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SRAAD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00:44:10]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D'Anvers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00:46:22]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00:47:06]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00:50:23]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listen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D'Anvers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00:55:41]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carousel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carousel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Kathryn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Jesse 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Monika Pierce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01:02:07]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Thanks-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Day 1 (Completed  09/21/21)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n3s0K56_6wdAIllyoTERYLJ6LUJxHGr-MsvI9BYvh0cgx5WY0sfraNyJ4WUN1mLQFrlGtZQRpnDlBmAr0LF1qQm-I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